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360" w:lineRule="auto"/>
        <w:jc w:val="center"/>
      </w:pPr>
      <w:bookmarkStart w:id="0" w:name="_GoBack"/>
      <w:bookmarkEnd w:id="0"/>
      <w:r>
        <w:rPr>
          <w:rFonts w:hint="eastAsia" w:ascii="宋体" w:hAnsi="宋体" w:eastAsia="宋体" w:cs="宋体"/>
          <w:b/>
          <w:kern w:val="0"/>
          <w:sz w:val="24"/>
          <w:shd w:val="clear" w:color="auto" w:fill="FFFFFF"/>
        </w:rPr>
        <w:t>云南省乡镇企业产品检测中心2017年度部门决算</w:t>
      </w:r>
    </w:p>
    <w:p>
      <w:pPr>
        <w:widowControl/>
        <w:spacing w:before="150" w:after="150" w:line="360" w:lineRule="auto"/>
        <w:jc w:val="left"/>
      </w:pPr>
      <w:r>
        <w:rPr>
          <w:rFonts w:hint="eastAsia" w:ascii="宋体" w:hAnsi="宋体" w:eastAsia="宋体" w:cs="宋体"/>
          <w:kern w:val="0"/>
          <w:sz w:val="24"/>
          <w:shd w:val="clear" w:color="auto" w:fill="FFFFFF"/>
        </w:rPr>
        <w:t> </w:t>
      </w:r>
    </w:p>
    <w:p>
      <w:pPr>
        <w:widowControl/>
        <w:spacing w:before="150" w:after="150" w:line="360" w:lineRule="auto"/>
        <w:jc w:val="center"/>
      </w:pPr>
      <w:r>
        <w:rPr>
          <w:rFonts w:hint="eastAsia" w:ascii="宋体" w:hAnsi="宋体" w:eastAsia="宋体" w:cs="宋体"/>
          <w:b/>
          <w:kern w:val="0"/>
          <w:sz w:val="24"/>
          <w:shd w:val="clear" w:color="auto" w:fill="FFFFFF"/>
        </w:rPr>
        <w:t>第一部分  部门概况</w:t>
      </w:r>
    </w:p>
    <w:p>
      <w:pPr>
        <w:pStyle w:val="2"/>
        <w:widowControl/>
        <w:spacing w:before="150" w:beforeAutospacing="0" w:after="150" w:afterAutospacing="0" w:line="360" w:lineRule="auto"/>
        <w:ind w:left="1350" w:hanging="720"/>
        <w:jc w:val="both"/>
      </w:pPr>
      <w:r>
        <w:rPr>
          <w:rFonts w:hint="eastAsia" w:ascii="宋体" w:hAnsi="宋体" w:eastAsia="宋体" w:cs="宋体"/>
          <w:b/>
          <w:shd w:val="clear" w:color="auto" w:fill="FFFFFF"/>
        </w:rPr>
        <w:t>一、主要职能</w:t>
      </w:r>
    </w:p>
    <w:p>
      <w:pPr>
        <w:pStyle w:val="2"/>
        <w:widowControl/>
        <w:spacing w:before="150" w:beforeAutospacing="0" w:after="150" w:afterAutospacing="0" w:line="360" w:lineRule="auto"/>
        <w:ind w:firstLine="482" w:firstLineChars="200"/>
        <w:jc w:val="both"/>
      </w:pPr>
      <w:r>
        <w:rPr>
          <w:rFonts w:hint="eastAsia" w:ascii="宋体" w:hAnsi="宋体" w:eastAsia="宋体" w:cs="宋体"/>
          <w:b/>
          <w:shd w:val="clear" w:color="auto" w:fill="FFFFFF"/>
        </w:rPr>
        <w:t>（一）主要职能</w:t>
      </w:r>
    </w:p>
    <w:p>
      <w:pPr>
        <w:widowControl/>
        <w:spacing w:before="150" w:after="150" w:line="360" w:lineRule="auto"/>
        <w:jc w:val="left"/>
      </w:pPr>
      <w:r>
        <w:rPr>
          <w:rFonts w:hint="eastAsia" w:ascii="宋体" w:hAnsi="宋体" w:eastAsia="宋体" w:cs="宋体"/>
          <w:color w:val="333333"/>
          <w:kern w:val="0"/>
          <w:sz w:val="24"/>
          <w:shd w:val="clear" w:color="auto" w:fill="FFFFFF"/>
        </w:rPr>
        <w:t>  云南省乡镇企业产品检测中心成立于1990年，为云南省农业厅直属事业单位，于2006年省编办正式批准加挂了“云南省农产品深加工技术服务中心”牌子，并在2012年筹建了云南省农业标准化技术委员会，承担委员会秘书处职能工作。</w:t>
      </w:r>
    </w:p>
    <w:p>
      <w:pPr>
        <w:widowControl/>
        <w:spacing w:before="150" w:after="150" w:line="360" w:lineRule="auto"/>
        <w:ind w:firstLine="480"/>
        <w:jc w:val="left"/>
      </w:pPr>
      <w:r>
        <w:rPr>
          <w:rFonts w:hint="eastAsia" w:ascii="宋体" w:hAnsi="宋体" w:eastAsia="宋体" w:cs="宋体"/>
          <w:color w:val="333333"/>
          <w:kern w:val="0"/>
          <w:sz w:val="24"/>
          <w:shd w:val="clear" w:color="auto" w:fill="FFFFFF"/>
        </w:rPr>
        <w:t>主要职责为：贯彻执行国家和云南省有关农业产业化和标准化法律、法规、规章及规范性文件；负责全省农产品加工业和农业标准化技术管理、指导和服务工作；负责其他省农业厅交办的其他有关工作。</w:t>
      </w:r>
    </w:p>
    <w:p>
      <w:pPr>
        <w:widowControl/>
        <w:spacing w:before="150" w:after="150" w:line="360" w:lineRule="auto"/>
        <w:ind w:firstLine="480"/>
        <w:jc w:val="left"/>
      </w:pPr>
      <w:r>
        <w:rPr>
          <w:rFonts w:hint="eastAsia" w:ascii="宋体" w:hAnsi="宋体" w:eastAsia="宋体" w:cs="宋体"/>
          <w:color w:val="333333"/>
          <w:kern w:val="0"/>
          <w:sz w:val="24"/>
          <w:shd w:val="clear" w:color="auto" w:fill="FFFFFF"/>
        </w:rPr>
        <w:t>1、开展农产品加工业技术服务。指导全省农业产业化及农产品加工业技术服务体系建设；指导全省农业产业化及农产品加工业技术推广，开展技术培训和技术服务；组织全省农业产业化及农产品加工业国内外新技术、新产品的引进、试验、示范、培训、推广工作；开展全省农业产业化及农产品加工业课题研究和农产品监测预警服务工作等。</w:t>
      </w:r>
    </w:p>
    <w:p>
      <w:pPr>
        <w:widowControl/>
        <w:spacing w:before="150" w:after="150" w:line="360" w:lineRule="auto"/>
        <w:jc w:val="left"/>
      </w:pPr>
      <w:r>
        <w:rPr>
          <w:rFonts w:hint="eastAsia" w:ascii="宋体" w:hAnsi="宋体" w:eastAsia="宋体" w:cs="宋体"/>
          <w:color w:val="333333"/>
          <w:kern w:val="0"/>
          <w:sz w:val="24"/>
          <w:shd w:val="clear" w:color="auto" w:fill="FFFFFF"/>
        </w:rPr>
        <w:t>   2、开展承担农业标准化秘书处工作。组织拟订全省农业标准发展规划和计划；指导全省农业标准体系建设和管理；开展农业标准的宣标、贯标、培训及推广等服务工作；承担并组织农业标准制定修订的起草及技术资料审查、评审工作；组织征集地方农业标准及项目申报；组织国际农业标准研究工作。</w:t>
      </w:r>
    </w:p>
    <w:p>
      <w:pPr>
        <w:widowControl/>
        <w:spacing w:before="150" w:after="150" w:line="360" w:lineRule="auto"/>
        <w:jc w:val="left"/>
      </w:pPr>
      <w:r>
        <w:rPr>
          <w:rFonts w:hint="eastAsia" w:ascii="宋体" w:hAnsi="宋体" w:eastAsia="宋体" w:cs="宋体"/>
          <w:color w:val="333333"/>
          <w:kern w:val="0"/>
          <w:sz w:val="24"/>
          <w:shd w:val="clear" w:color="auto" w:fill="FFFFFF"/>
        </w:rPr>
        <w:t>  </w:t>
      </w:r>
      <w:r>
        <w:rPr>
          <w:rFonts w:hint="eastAsia" w:ascii="宋体" w:hAnsi="宋体" w:eastAsia="宋体" w:cs="宋体"/>
          <w:b/>
          <w:kern w:val="0"/>
          <w:sz w:val="24"/>
          <w:shd w:val="clear" w:color="auto" w:fill="FFFFFF"/>
        </w:rPr>
        <w:t>（二）2017年度重点工作任务介绍</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中心在农业厅党组的正确领导以及相关处室的指导、关心、支持下，认真学习贯彻党的十八届三中、四中、五中、六中全会精神和习近平总书记系列讲话精神，按照厅党组的部署和要求，紧紧围绕中心的目标及任务，本着“打基础、转作风、强素质、求实效”，“为‘三农’服务”的宗旨，以“一个中心二个基本点三大突破”的工作思路，认真履行职责，完成了各项目标责任，一年来主要完成农业产业化和农业标准化两个主体项目的目标任务。完成了《2017年云南省天然橡胶产业分析研究报告》等我省高原特色农业技术成果及产业发展报告的编制工作；完成了农业标准化近100人的培训工作，完成了12项地方标准的技术审查，20项地方标准的申报立项，在今年的农业标准化工作上取得了新的突破：</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xml:space="preserve">一是研究分析实效性强。完成了《2017年云南省天然橡胶产业分析研究报告》、《云南咖啡产业市场分析研究报告》编制工作，为相关部门、行业、企业、生产者及社会各界人士及时提供了该产业市场动态及研究分析报告。 </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二是农业标准技术服务工作稳步推进，顺利完成了以下工作：</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1、《高原特色农产品 冬茸》等20多项地方标准申报获得立项；</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2、《山羊细管冻精制作规程》、《油菜菌核病综合防控技术规程》等12项地方标准通过技术审查，完成报批10项；</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3、继续推进高原特色农产品体系的建设，《镇沅瓢鸡》、《保山猪》等特色农产品地方标准通过技术审查；</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4、依据《云南省农业机械推广鉴定大纲》的要求，参与完成新修订的《起垄机》、《地膜覆盖机》等25个省级大纲的技术审查；</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5、根据云质监局函〔2017〕158号文要求，完成云南省企业标准对标评估工作；</w:t>
      </w:r>
    </w:p>
    <w:p>
      <w:pPr>
        <w:widowControl/>
        <w:spacing w:before="150" w:after="15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6、提供《16年农业标准化技术委员会工作年鉴》；</w:t>
      </w:r>
    </w:p>
    <w:p>
      <w:pPr>
        <w:widowControl/>
        <w:spacing w:before="150" w:after="150" w:line="360" w:lineRule="auto"/>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7、举办2017年度《农业标准化、产业化及地方标准制修订》培训班。</w:t>
      </w:r>
    </w:p>
    <w:p>
      <w:pPr>
        <w:widowControl/>
        <w:spacing w:before="150" w:after="150" w:line="360" w:lineRule="auto"/>
        <w:ind w:firstLine="480"/>
        <w:jc w:val="left"/>
      </w:pPr>
      <w:r>
        <w:rPr>
          <w:rFonts w:hint="eastAsia" w:ascii="宋体" w:hAnsi="宋体" w:eastAsia="宋体" w:cs="宋体"/>
          <w:kern w:val="0"/>
          <w:sz w:val="24"/>
          <w:shd w:val="clear" w:color="auto" w:fill="FFFFFF"/>
        </w:rPr>
        <w:t>三是深入调研，取得实效。开展了玉溪等地省内地州高原特色农业调研工作。总之，中心将凝聚一批专家和学者，开展农产品加工和农业标准科技服务协作，形成一支特色明显的农产品加工和农业标准科技服务人才队伍，团结协作、认真履行职责，为推动云南农业科技进步，促进农业产业化生产水平，推进农产品加工和农业标准化持续健康发展做出努力和贡献。</w:t>
      </w:r>
    </w:p>
    <w:p>
      <w:pPr>
        <w:widowControl/>
        <w:spacing w:before="150" w:after="150" w:line="360" w:lineRule="auto"/>
        <w:ind w:firstLine="482"/>
      </w:pPr>
      <w:r>
        <w:rPr>
          <w:rFonts w:hint="eastAsia" w:ascii="宋体" w:hAnsi="宋体" w:eastAsia="宋体" w:cs="宋体"/>
          <w:b/>
          <w:color w:val="333333"/>
          <w:kern w:val="0"/>
          <w:sz w:val="24"/>
          <w:shd w:val="clear" w:color="auto" w:fill="FFFFFF"/>
        </w:rPr>
        <w:t>二、部门基本情况</w:t>
      </w:r>
    </w:p>
    <w:p>
      <w:pPr>
        <w:widowControl/>
        <w:spacing w:before="150" w:after="150" w:line="360" w:lineRule="auto"/>
        <w:jc w:val="left"/>
      </w:pPr>
      <w:r>
        <w:rPr>
          <w:rFonts w:hint="eastAsia" w:ascii="宋体" w:hAnsi="宋体" w:eastAsia="宋体" w:cs="宋体"/>
          <w:b/>
          <w:color w:val="333333"/>
          <w:kern w:val="0"/>
          <w:sz w:val="24"/>
          <w:shd w:val="clear" w:color="auto" w:fill="FFFFFF"/>
        </w:rPr>
        <w:t>  </w:t>
      </w:r>
      <w:r>
        <w:rPr>
          <w:rFonts w:hint="eastAsia" w:ascii="宋体" w:hAnsi="宋体" w:eastAsia="宋体" w:cs="宋体"/>
          <w:b/>
          <w:kern w:val="0"/>
          <w:sz w:val="24"/>
          <w:shd w:val="clear" w:color="auto" w:fill="FFFFFF"/>
        </w:rPr>
        <w:t>（一）部门决算单位构成</w:t>
      </w:r>
    </w:p>
    <w:p>
      <w:pPr>
        <w:pStyle w:val="2"/>
        <w:widowControl/>
        <w:spacing w:before="150" w:beforeAutospacing="0" w:after="150" w:afterAutospacing="0" w:line="360" w:lineRule="auto"/>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纳入2017年度部门决算编报的单位共1个，其中：其他事业单位1个。</w:t>
      </w:r>
    </w:p>
    <w:p>
      <w:pPr>
        <w:pStyle w:val="2"/>
        <w:widowControl/>
        <w:spacing w:before="150" w:beforeAutospacing="0" w:after="150" w:afterAutospacing="0" w:line="360" w:lineRule="auto"/>
        <w:ind w:firstLine="480" w:firstLineChars="200"/>
        <w:jc w:val="both"/>
      </w:pPr>
      <w:r>
        <w:rPr>
          <w:rFonts w:hint="eastAsia" w:ascii="宋体" w:hAnsi="宋体" w:eastAsia="宋体" w:cs="宋体"/>
          <w:shd w:val="clear" w:color="auto" w:fill="FFFFFF"/>
        </w:rPr>
        <w:t>属于公益二类事业单位,全称为:“云南省乡镇企业产品检测中心”。“云南省农产品深加工技术服务中心”、“云南省农业标准化技术委员会秘书处”为加挂牌子，非执行独立的财务运行，已被纳入核算范畴。</w:t>
      </w:r>
    </w:p>
    <w:p>
      <w:pPr>
        <w:pStyle w:val="2"/>
        <w:widowControl/>
        <w:spacing w:before="150" w:beforeAutospacing="0" w:after="150" w:afterAutospacing="0" w:line="360" w:lineRule="auto"/>
        <w:ind w:firstLine="640"/>
        <w:jc w:val="both"/>
      </w:pPr>
      <w:r>
        <w:rPr>
          <w:rFonts w:hint="eastAsia" w:ascii="宋体" w:hAnsi="宋体" w:eastAsia="宋体" w:cs="宋体"/>
          <w:color w:val="333333"/>
          <w:shd w:val="clear" w:color="auto" w:fill="FFFFFF"/>
        </w:rPr>
        <w:t>截止2017年度末实有人员编制7人。其中：事业编制7人；在职在编实事业人员4人（含参公管理事业人员0人）。</w:t>
      </w:r>
    </w:p>
    <w:p>
      <w:pPr>
        <w:pStyle w:val="2"/>
        <w:widowControl/>
        <w:spacing w:before="150" w:beforeAutospacing="0" w:after="150" w:afterAutospacing="0" w:line="360" w:lineRule="auto"/>
        <w:ind w:firstLine="720" w:firstLineChars="300"/>
        <w:jc w:val="both"/>
      </w:pPr>
      <w:r>
        <w:rPr>
          <w:rFonts w:hint="eastAsia" w:ascii="宋体" w:hAnsi="宋体" w:eastAsia="宋体" w:cs="宋体"/>
          <w:color w:val="333333"/>
          <w:shd w:val="clear" w:color="auto" w:fill="FFFFFF"/>
        </w:rPr>
        <w:t>离退休人员9人。其中：离休0人，退休9人。</w:t>
      </w:r>
    </w:p>
    <w:p>
      <w:pPr>
        <w:pStyle w:val="2"/>
        <w:widowControl/>
        <w:spacing w:before="150" w:beforeAutospacing="0" w:after="150" w:afterAutospacing="0" w:line="360" w:lineRule="auto"/>
        <w:ind w:firstLine="640"/>
        <w:jc w:val="both"/>
      </w:pPr>
      <w:r>
        <w:rPr>
          <w:rFonts w:hint="eastAsia" w:ascii="宋体" w:hAnsi="宋体" w:eastAsia="宋体" w:cs="宋体"/>
          <w:color w:val="333333"/>
          <w:shd w:val="clear" w:color="auto" w:fill="FFFFFF"/>
        </w:rPr>
        <w:t>实有车辆编制1辆，实有在编车辆1辆，为大众牌桑塔纳型轿车。</w:t>
      </w:r>
    </w:p>
    <w:p>
      <w:pPr>
        <w:pStyle w:val="2"/>
        <w:widowControl/>
        <w:spacing w:before="150" w:beforeAutospacing="0" w:after="150" w:afterAutospacing="0" w:line="360" w:lineRule="auto"/>
        <w:ind w:firstLine="640"/>
        <w:jc w:val="both"/>
      </w:pPr>
      <w:r>
        <w:rPr>
          <w:rFonts w:hint="eastAsia" w:ascii="宋体" w:hAnsi="宋体" w:eastAsia="宋体" w:cs="宋体"/>
          <w:color w:val="333333"/>
          <w:shd w:val="clear" w:color="auto" w:fill="FFFFFF"/>
        </w:rPr>
        <w:t> </w:t>
      </w:r>
    </w:p>
    <w:p>
      <w:pPr>
        <w:widowControl/>
        <w:spacing w:before="150" w:after="150" w:line="360" w:lineRule="auto"/>
        <w:jc w:val="center"/>
      </w:pPr>
      <w:r>
        <w:rPr>
          <w:rFonts w:hint="eastAsia" w:ascii="宋体" w:hAnsi="宋体" w:eastAsia="宋体" w:cs="宋体"/>
          <w:b/>
          <w:kern w:val="0"/>
          <w:sz w:val="24"/>
          <w:shd w:val="clear" w:color="auto" w:fill="FFFFFF"/>
        </w:rPr>
        <w:t>第二部分　　云南省乡镇企业产品检测中心2017年度部门决算表</w:t>
      </w:r>
    </w:p>
    <w:p>
      <w:pPr>
        <w:widowControl/>
        <w:spacing w:before="150" w:after="150" w:line="360" w:lineRule="auto"/>
        <w:ind w:firstLine="482" w:firstLineChars="200"/>
        <w:jc w:val="center"/>
      </w:pPr>
      <w:r>
        <w:rPr>
          <w:rFonts w:hint="eastAsia" w:ascii="宋体" w:hAnsi="宋体" w:eastAsia="宋体" w:cs="宋体"/>
          <w:b/>
          <w:kern w:val="0"/>
          <w:sz w:val="24"/>
          <w:shd w:val="clear" w:color="auto" w:fill="FFFFFF"/>
        </w:rPr>
        <w:t>（报表详见附件）</w:t>
      </w:r>
    </w:p>
    <w:p>
      <w:pPr>
        <w:widowControl/>
        <w:spacing w:before="150" w:after="150" w:line="360" w:lineRule="auto"/>
        <w:ind w:firstLine="480"/>
        <w:jc w:val="left"/>
      </w:pPr>
      <w:r>
        <w:rPr>
          <w:rFonts w:hint="eastAsia" w:ascii="宋体" w:hAnsi="宋体" w:eastAsia="宋体" w:cs="宋体"/>
          <w:kern w:val="0"/>
          <w:sz w:val="24"/>
          <w:shd w:val="clear" w:color="auto" w:fill="FFFFFF"/>
        </w:rPr>
        <w:t> </w:t>
      </w:r>
    </w:p>
    <w:p>
      <w:pPr>
        <w:widowControl/>
        <w:spacing w:before="150" w:after="150" w:line="360" w:lineRule="auto"/>
        <w:jc w:val="center"/>
      </w:pPr>
      <w:r>
        <w:rPr>
          <w:rFonts w:hint="eastAsia" w:ascii="宋体" w:hAnsi="宋体" w:eastAsia="宋体" w:cs="宋体"/>
          <w:b/>
          <w:kern w:val="0"/>
          <w:sz w:val="24"/>
          <w:shd w:val="clear" w:color="auto" w:fill="FFFFFF"/>
        </w:rPr>
        <w:t>第三部分　　云南省乡镇企业产品检测中心2017年度部门决算情况说明</w:t>
      </w:r>
    </w:p>
    <w:p>
      <w:pPr>
        <w:widowControl/>
        <w:spacing w:before="150" w:after="150" w:line="360" w:lineRule="auto"/>
        <w:ind w:firstLine="482"/>
        <w:jc w:val="left"/>
      </w:pPr>
      <w:r>
        <w:rPr>
          <w:rFonts w:hint="eastAsia" w:ascii="宋体" w:hAnsi="宋体" w:eastAsia="宋体" w:cs="宋体"/>
          <w:b/>
          <w:kern w:val="0"/>
          <w:sz w:val="24"/>
          <w:shd w:val="clear" w:color="auto" w:fill="FFFFFF"/>
        </w:rPr>
        <w:t>一、收入决算情况说明</w:t>
      </w:r>
    </w:p>
    <w:p>
      <w:pPr>
        <w:widowControl/>
        <w:spacing w:before="100" w:after="100" w:line="360" w:lineRule="auto"/>
        <w:ind w:firstLine="538"/>
        <w:jc w:val="left"/>
      </w:pPr>
      <w:r>
        <w:rPr>
          <w:rFonts w:hint="eastAsia" w:ascii="宋体" w:hAnsi="宋体" w:eastAsia="宋体" w:cs="宋体"/>
          <w:kern w:val="0"/>
          <w:sz w:val="24"/>
          <w:shd w:val="clear" w:color="auto" w:fill="FFFFFF"/>
        </w:rPr>
        <w:t>2017年度收入74.97万元，其中财政拨款收入74.58万元，占总收入的99.48%；其他收入0.39万元，占总收入的0.52%。2016年度收入合计97.39万元。其中：财政拨款收入72.7万元，占总收入的74.65%；经营收入24.2万元，占总收入的24.85%；其他收入0.49万元，占总收入的0.5%。2017年度收入与上年相比下降23.02%。</w:t>
      </w:r>
    </w:p>
    <w:p>
      <w:pPr>
        <w:widowControl/>
        <w:spacing w:before="100" w:after="100" w:line="360" w:lineRule="auto"/>
        <w:ind w:firstLine="538"/>
        <w:jc w:val="left"/>
        <w:rPr>
          <w:rFonts w:hint="eastAsia" w:eastAsia="宋体"/>
          <w:color w:val="000000" w:themeColor="text1"/>
          <w:lang w:val="en-US" w:eastAsia="zh-CN"/>
        </w:rPr>
      </w:pPr>
      <w:r>
        <w:rPr>
          <w:rFonts w:hint="eastAsia" w:ascii="宋体" w:hAnsi="宋体" w:eastAsia="宋体" w:cs="宋体"/>
          <w:color w:val="000000" w:themeColor="text1"/>
          <w:kern w:val="0"/>
          <w:sz w:val="24"/>
          <w:shd w:val="clear" w:color="auto" w:fill="FFFFFF"/>
        </w:rPr>
        <w:t>主要原因分析:本年度单位</w:t>
      </w:r>
      <w:r>
        <w:rPr>
          <w:rFonts w:hint="eastAsia" w:ascii="宋体" w:hAnsi="宋体" w:eastAsia="宋体" w:cs="宋体"/>
          <w:color w:val="000000" w:themeColor="text1"/>
          <w:kern w:val="0"/>
          <w:sz w:val="24"/>
          <w:shd w:val="clear" w:color="auto" w:fill="FFFFFF"/>
          <w:lang w:val="en-US" w:eastAsia="zh-CN"/>
        </w:rPr>
        <w:t>未开展经济经营活动，未取得经营收入，导致年度总收入下降。</w:t>
      </w:r>
    </w:p>
    <w:p>
      <w:pPr>
        <w:widowControl/>
        <w:spacing w:before="150" w:after="150" w:line="360" w:lineRule="auto"/>
        <w:ind w:firstLine="482"/>
        <w:jc w:val="left"/>
      </w:pPr>
      <w:r>
        <w:rPr>
          <w:rFonts w:hint="eastAsia" w:ascii="宋体" w:hAnsi="宋体" w:eastAsia="宋体" w:cs="宋体"/>
          <w:b/>
          <w:kern w:val="0"/>
          <w:sz w:val="24"/>
          <w:shd w:val="clear" w:color="auto" w:fill="FFFFFF"/>
        </w:rPr>
        <w:t>二、支出决算情况说明</w:t>
      </w:r>
    </w:p>
    <w:p>
      <w:pPr>
        <w:widowControl/>
        <w:spacing w:before="150" w:after="150" w:line="360" w:lineRule="auto"/>
        <w:ind w:firstLine="480"/>
        <w:jc w:val="left"/>
      </w:pPr>
      <w:r>
        <w:rPr>
          <w:rFonts w:hint="eastAsia" w:ascii="宋体" w:hAnsi="宋体" w:eastAsia="宋体" w:cs="宋体"/>
          <w:kern w:val="0"/>
          <w:sz w:val="24"/>
          <w:shd w:val="clear" w:color="auto" w:fill="FFFFFF"/>
        </w:rPr>
        <w:t>2017年度支出合计74.95万元。其中：基本支出36.31万元，占总支出的48.45％；项目支出38.64万元，占总支出的51.55％。2016年度支出合计121.53万元。其中：基本支出57.31万元，占总支出的47.16％；项目支出40.01万元，占总支出的32.91％；上缴上级支出、经营支出、对附属单位补助支出共24.2万元，占总支出的19.91％。2017年度支出与上年相比减少38.33%。</w:t>
      </w:r>
    </w:p>
    <w:p>
      <w:pPr>
        <w:widowControl/>
        <w:spacing w:before="150" w:after="150" w:line="360" w:lineRule="auto"/>
        <w:jc w:val="left"/>
      </w:pPr>
      <w:r>
        <w:rPr>
          <w:rFonts w:hint="eastAsia" w:ascii="宋体" w:hAnsi="宋体" w:eastAsia="宋体" w:cs="宋体"/>
          <w:b/>
          <w:kern w:val="0"/>
          <w:sz w:val="24"/>
          <w:shd w:val="clear" w:color="auto" w:fill="FFFFFF"/>
        </w:rPr>
        <w:t>  （一）基本支出情况</w:t>
      </w:r>
    </w:p>
    <w:p>
      <w:pPr>
        <w:widowControl/>
        <w:spacing w:before="100" w:after="100" w:line="360" w:lineRule="auto"/>
        <w:ind w:firstLine="480"/>
        <w:jc w:val="left"/>
      </w:pPr>
      <w:r>
        <w:rPr>
          <w:rFonts w:hint="eastAsia" w:ascii="宋体" w:hAnsi="宋体" w:eastAsia="宋体" w:cs="宋体"/>
          <w:kern w:val="0"/>
          <w:sz w:val="24"/>
          <w:shd w:val="clear" w:color="auto" w:fill="FFFFFF"/>
        </w:rPr>
        <w:t>2017年度用于保障机构正常运转的日常支出36.31万元。其中包括用于离退休人员经费0.44万元，用于职工医疗保障体检费0.36万元，用于职工基本工资、津贴补贴等人员经费支出28.59万元等，用于职工住房公积金支出6.92万元。</w:t>
      </w:r>
    </w:p>
    <w:p>
      <w:pPr>
        <w:widowControl/>
        <w:spacing w:before="150" w:after="150" w:line="360" w:lineRule="auto"/>
        <w:jc w:val="left"/>
      </w:pPr>
      <w:r>
        <w:rPr>
          <w:rFonts w:hint="eastAsia" w:ascii="宋体" w:hAnsi="宋体" w:eastAsia="宋体" w:cs="宋体"/>
          <w:b/>
          <w:kern w:val="0"/>
          <w:sz w:val="24"/>
          <w:shd w:val="clear" w:color="auto" w:fill="FFFFFF"/>
        </w:rPr>
        <w:t>  （二）项目支出情况</w:t>
      </w:r>
    </w:p>
    <w:p>
      <w:pPr>
        <w:widowControl/>
        <w:spacing w:before="100" w:after="100" w:line="360" w:lineRule="auto"/>
        <w:ind w:firstLine="480"/>
        <w:jc w:val="left"/>
      </w:pPr>
      <w:r>
        <w:rPr>
          <w:rFonts w:hint="eastAsia" w:ascii="宋体" w:hAnsi="宋体" w:eastAsia="宋体" w:cs="宋体"/>
          <w:kern w:val="0"/>
          <w:sz w:val="24"/>
          <w:shd w:val="clear" w:color="auto" w:fill="FFFFFF"/>
        </w:rPr>
        <w:t>2017年度用于保障机构为完成特定的事业发展目标，用于专项业务工作的经费支出38.64万元。2016年度项目支出40.01万元，与上年对比下降3.42%。主要原因是涉农项目在阶段性目标达成后，进一步精简开支。</w:t>
      </w:r>
    </w:p>
    <w:p>
      <w:pPr>
        <w:widowControl/>
        <w:spacing w:before="100" w:after="100" w:line="360" w:lineRule="auto"/>
        <w:ind w:firstLine="480"/>
        <w:jc w:val="left"/>
      </w:pPr>
      <w:r>
        <w:rPr>
          <w:rFonts w:hint="eastAsia" w:ascii="宋体" w:hAnsi="宋体" w:eastAsia="宋体" w:cs="宋体"/>
          <w:kern w:val="0"/>
          <w:sz w:val="24"/>
          <w:shd w:val="clear" w:color="auto" w:fill="FFFFFF"/>
        </w:rPr>
        <w:t>1、213农林水支出—21301农业—2130109农产品质量安全项目《云财农〔2017〕23号 农业标准征集、初审项目》列支19.64万元。</w:t>
      </w:r>
    </w:p>
    <w:p>
      <w:pPr>
        <w:widowControl/>
        <w:spacing w:before="100" w:after="100" w:line="360" w:lineRule="auto"/>
        <w:ind w:firstLine="480"/>
        <w:jc w:val="left"/>
      </w:pPr>
      <w:r>
        <w:rPr>
          <w:rFonts w:hint="eastAsia" w:ascii="宋体" w:hAnsi="宋体" w:eastAsia="宋体" w:cs="宋体"/>
          <w:kern w:val="0"/>
          <w:sz w:val="24"/>
          <w:shd w:val="clear" w:color="auto" w:fill="FFFFFF"/>
        </w:rPr>
        <w:t>2、213农林水支出—21301农业—2130124农业组织化与产业化经营项目《云财农〔2017〕23号 农产品加工业和农业产业化发展专题研究与培训》列支19万元。</w:t>
      </w:r>
    </w:p>
    <w:p>
      <w:pPr>
        <w:pStyle w:val="2"/>
        <w:widowControl/>
        <w:spacing w:before="150" w:beforeAutospacing="0" w:after="150" w:afterAutospacing="0" w:line="360" w:lineRule="auto"/>
        <w:ind w:firstLine="480" w:firstLineChars="200"/>
        <w:jc w:val="both"/>
      </w:pPr>
      <w:r>
        <w:rPr>
          <w:rFonts w:hint="eastAsia" w:ascii="宋体" w:hAnsi="宋体" w:eastAsia="宋体" w:cs="宋体"/>
          <w:shd w:val="clear" w:color="auto" w:fill="FFFFFF"/>
        </w:rPr>
        <w:t>项目开展工作情况与成果详见本文“第一部分 部门概况：——一、主要职能——（二）2017年度重点工作任务介绍”。</w:t>
      </w:r>
    </w:p>
    <w:p>
      <w:pPr>
        <w:pStyle w:val="2"/>
        <w:widowControl/>
        <w:spacing w:before="150" w:beforeAutospacing="0" w:after="150" w:afterAutospacing="0" w:line="360" w:lineRule="auto"/>
        <w:ind w:firstLine="241" w:firstLineChars="100"/>
        <w:jc w:val="both"/>
      </w:pPr>
      <w:r>
        <w:rPr>
          <w:rFonts w:hint="eastAsia" w:ascii="宋体" w:hAnsi="宋体" w:eastAsia="宋体" w:cs="宋体"/>
          <w:b/>
          <w:shd w:val="clear" w:color="auto" w:fill="FFFFFF"/>
        </w:rPr>
        <w:t>（三）经营支出情况</w:t>
      </w:r>
    </w:p>
    <w:p>
      <w:pPr>
        <w:widowControl/>
        <w:spacing w:before="100" w:after="100" w:line="360" w:lineRule="auto"/>
        <w:ind w:firstLine="480"/>
        <w:jc w:val="left"/>
      </w:pPr>
      <w:r>
        <w:rPr>
          <w:rFonts w:hint="eastAsia" w:ascii="宋体" w:hAnsi="宋体" w:eastAsia="宋体" w:cs="宋体"/>
          <w:kern w:val="0"/>
          <w:sz w:val="24"/>
          <w:shd w:val="clear" w:color="auto" w:fill="FFFFFF"/>
        </w:rPr>
        <w:t>2017年度无经营收支情况。</w:t>
      </w:r>
    </w:p>
    <w:p>
      <w:pPr>
        <w:widowControl/>
        <w:spacing w:before="150" w:after="150" w:line="360" w:lineRule="auto"/>
        <w:ind w:firstLine="482"/>
        <w:jc w:val="left"/>
      </w:pPr>
      <w:r>
        <w:rPr>
          <w:rFonts w:hint="eastAsia" w:ascii="宋体" w:hAnsi="宋体" w:eastAsia="宋体" w:cs="宋体"/>
          <w:b/>
          <w:kern w:val="0"/>
          <w:sz w:val="24"/>
          <w:shd w:val="clear" w:color="auto" w:fill="FFFFFF"/>
        </w:rPr>
        <w:t>三、一般公共预算财政拨款支出决算情况说明</w:t>
      </w:r>
    </w:p>
    <w:p>
      <w:pPr>
        <w:widowControl/>
        <w:spacing w:before="100" w:after="100" w:line="360" w:lineRule="auto"/>
        <w:ind w:firstLine="482"/>
        <w:jc w:val="left"/>
      </w:pPr>
      <w:r>
        <w:rPr>
          <w:rFonts w:hint="eastAsia" w:ascii="宋体" w:hAnsi="宋体" w:eastAsia="宋体" w:cs="宋体"/>
          <w:b/>
          <w:kern w:val="0"/>
          <w:sz w:val="24"/>
          <w:shd w:val="clear" w:color="auto" w:fill="FFFFFF"/>
        </w:rPr>
        <w:t>（一）一般公共预算财政拨款支出决算总体情况</w:t>
      </w:r>
    </w:p>
    <w:p>
      <w:pPr>
        <w:widowControl/>
        <w:spacing w:before="100" w:after="100" w:line="360" w:lineRule="auto"/>
        <w:ind w:firstLine="480"/>
        <w:jc w:val="left"/>
      </w:pPr>
      <w:r>
        <w:rPr>
          <w:rFonts w:hint="eastAsia" w:ascii="宋体" w:hAnsi="宋体" w:eastAsia="宋体" w:cs="宋体"/>
          <w:kern w:val="0"/>
          <w:sz w:val="24"/>
          <w:shd w:val="clear" w:color="auto" w:fill="FFFFFF"/>
        </w:rPr>
        <w:t>2017年度一般公共预算财政拨款支出74.59万元,占本年支出合计的99.52%。2016年度一般公共预算财政拨款支出72.7万元,占本年支出合计的59.82%。2017年度一般公共预算财政拨款支出相比上年减少,主要原因为涉农项目在阶段性目标达成后，进一步精简，导致一般公共预算财政拨款支出下降。</w:t>
      </w:r>
    </w:p>
    <w:p>
      <w:pPr>
        <w:widowControl/>
        <w:spacing w:before="100" w:after="100" w:line="360" w:lineRule="auto"/>
        <w:ind w:firstLine="482"/>
        <w:jc w:val="left"/>
      </w:pPr>
      <w:r>
        <w:rPr>
          <w:rFonts w:hint="eastAsia" w:ascii="宋体" w:hAnsi="宋体" w:eastAsia="宋体" w:cs="宋体"/>
          <w:b/>
          <w:kern w:val="0"/>
          <w:sz w:val="24"/>
          <w:shd w:val="clear" w:color="auto" w:fill="FFFFFF"/>
        </w:rPr>
        <w:t xml:space="preserve">（二）一般公共预算财政拨款支出决算具体情况 </w:t>
      </w:r>
    </w:p>
    <w:p>
      <w:pPr>
        <w:widowControl/>
        <w:spacing w:before="100" w:after="100" w:line="360" w:lineRule="auto"/>
        <w:ind w:firstLine="480"/>
        <w:jc w:val="left"/>
      </w:pPr>
      <w:r>
        <w:rPr>
          <w:rFonts w:hint="eastAsia" w:ascii="宋体" w:hAnsi="宋体" w:eastAsia="宋体" w:cs="宋体"/>
          <w:kern w:val="0"/>
          <w:sz w:val="24"/>
          <w:shd w:val="clear" w:color="auto" w:fill="FFFFFF"/>
        </w:rPr>
        <w:t>1、208社会保障和就业支出（类）0.44万元，占一般公共预算财政拨款总支出的0.59%。主要用于支付2080502（项）事业单位离退休0.44万元。</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2、213农林水支出（类）67.23万元，占一般公共预算财政拨款总支出的90.13%。主要用于支付2130104事业运行28.59万元；2130109农产品质量安全（项）19.64万元；2130124农业组织化与产业化经营（项）19万元。</w:t>
      </w:r>
    </w:p>
    <w:p>
      <w:pPr>
        <w:widowControl/>
        <w:spacing w:before="100" w:after="100" w:line="360" w:lineRule="auto"/>
        <w:ind w:firstLine="480"/>
        <w:jc w:val="left"/>
      </w:pPr>
      <w:r>
        <w:rPr>
          <w:rFonts w:hint="eastAsia" w:ascii="宋体" w:hAnsi="宋体" w:eastAsia="宋体" w:cs="宋体"/>
          <w:kern w:val="0"/>
          <w:sz w:val="24"/>
          <w:shd w:val="clear" w:color="auto" w:fill="FFFFFF"/>
        </w:rPr>
        <w:t>3、221住房保障支出（类）6.92万元，占一般公共预算财政拨款总支出的9.28%。主要用于支付2210201住房公积金（项）6.92万元。</w:t>
      </w:r>
    </w:p>
    <w:p>
      <w:pPr>
        <w:widowControl/>
        <w:spacing w:before="150" w:after="150" w:line="360" w:lineRule="auto"/>
        <w:ind w:left="482"/>
        <w:jc w:val="left"/>
        <w:rPr>
          <w:rFonts w:ascii="宋体" w:hAnsi="宋体" w:eastAsia="宋体" w:cs="宋体"/>
          <w:kern w:val="0"/>
          <w:sz w:val="24"/>
          <w:shd w:val="clear" w:color="auto" w:fill="FFFFFF"/>
        </w:rPr>
      </w:pPr>
      <w:r>
        <w:rPr>
          <w:rFonts w:hint="eastAsia" w:ascii="宋体" w:hAnsi="宋体" w:eastAsia="宋体" w:cs="宋体"/>
          <w:b/>
          <w:color w:val="000000" w:themeColor="text1"/>
          <w:kern w:val="0"/>
          <w:sz w:val="24"/>
          <w:shd w:val="clear" w:color="auto" w:fill="FFFFFF"/>
        </w:rPr>
        <w:t>四、一般公共预算财政拨款“三公”经费支出决算情况说明</w:t>
      </w:r>
    </w:p>
    <w:p>
      <w:pPr>
        <w:widowControl/>
        <w:spacing w:before="150" w:after="150" w:line="360" w:lineRule="auto"/>
        <w:ind w:left="482"/>
        <w:jc w:val="left"/>
        <w:rPr>
          <w:rFonts w:ascii="宋体" w:hAnsi="宋体" w:eastAsia="宋体" w:cs="宋体"/>
          <w:b/>
          <w:color w:val="000000" w:themeColor="text1"/>
          <w:kern w:val="0"/>
          <w:sz w:val="24"/>
          <w:shd w:val="clear" w:color="auto" w:fill="FFFFFF"/>
        </w:rPr>
      </w:pPr>
      <w:r>
        <w:rPr>
          <w:rFonts w:hint="eastAsia" w:ascii="宋体" w:hAnsi="宋体" w:eastAsia="宋体" w:cs="宋体"/>
          <w:b/>
          <w:color w:val="000000" w:themeColor="text1"/>
          <w:kern w:val="0"/>
          <w:sz w:val="24"/>
          <w:shd w:val="clear" w:color="auto" w:fill="FFFFFF"/>
        </w:rPr>
        <w:t>(一) 一般公共预算财政拨款“三公”经费支出决算总体情况</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云南省乡镇企业产品检测中心2017年度一般公共预算财政拨款“三公”经费支出预算为3.5万元，支出决算为2.83万元，完成预算的80.86%。其中：公务用车购置及运行费支出决算为2.5万元，完成预算的100%；公务接待费支出决算为0.33万元，完成预算的32.9%。2017年度一般公共预算财政拨款“三公”经费支出决算数小于预算数的主要原因是：</w:t>
      </w:r>
      <w:r>
        <w:rPr>
          <w:rFonts w:hint="eastAsia" w:ascii="宋体" w:hAnsi="宋体" w:eastAsia="宋体" w:cs="宋体"/>
          <w:color w:val="000000" w:themeColor="text1"/>
          <w:kern w:val="0"/>
          <w:sz w:val="24"/>
          <w:shd w:val="clear" w:color="auto" w:fill="FFFFFF"/>
        </w:rPr>
        <w:t>单位挂牌的省农业标准化技术委员会秘书处承担年度全省农业标准申报、初审任务，年度公务接待任务与宣标、贯标及标准化培训任务挂钩，根据省质监局委托农业标准技术审查情况，导致本年度内公务接待费用下降</w:t>
      </w:r>
      <w:r>
        <w:rPr>
          <w:rFonts w:hint="eastAsia" w:ascii="宋体" w:hAnsi="宋体" w:eastAsia="宋体" w:cs="宋体"/>
          <w:kern w:val="0"/>
          <w:sz w:val="24"/>
          <w:shd w:val="clear" w:color="auto" w:fill="FFFFFF"/>
        </w:rPr>
        <w:t>。</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度一般公共预算财政拨款“三公”经费支出决算数比2016年减少0.54万元，下降16.02%。其中：公务用车购置及运行费支出决算与上年持平；公务接待费支出决算减少0.54万元，下降62.7%。年度一般公共预算财政拨款“三公”经费支出决算减少的主要原因：</w:t>
      </w:r>
      <w:r>
        <w:rPr>
          <w:rFonts w:hint="eastAsia" w:ascii="宋体" w:hAnsi="宋体" w:eastAsia="宋体" w:cs="宋体"/>
          <w:color w:val="000000" w:themeColor="text1"/>
          <w:kern w:val="0"/>
          <w:sz w:val="24"/>
          <w:shd w:val="clear" w:color="auto" w:fill="FFFFFF"/>
        </w:rPr>
        <w:t>单位挂牌的省农业标准化技术委员会秘书处承担年度全省农业标准申报、初审任务，年度公务接待任务与宣标、贯标及标准化培训任务挂钩，根据省质监局委托农业标准技术审查情况，导致本年度内公务接待费用下降</w:t>
      </w:r>
      <w:r>
        <w:rPr>
          <w:rFonts w:hint="eastAsia" w:ascii="宋体" w:hAnsi="宋体" w:eastAsia="宋体" w:cs="宋体"/>
          <w:kern w:val="0"/>
          <w:sz w:val="24"/>
          <w:shd w:val="clear" w:color="auto" w:fill="FFFFFF"/>
        </w:rPr>
        <w:t>。</w:t>
      </w:r>
    </w:p>
    <w:p>
      <w:pPr>
        <w:widowControl/>
        <w:spacing w:before="150" w:after="150" w:line="360" w:lineRule="auto"/>
        <w:ind w:left="482"/>
        <w:jc w:val="left"/>
        <w:rPr>
          <w:rFonts w:ascii="宋体" w:hAnsi="宋体" w:eastAsia="宋体" w:cs="宋体"/>
          <w:b/>
          <w:color w:val="000000" w:themeColor="text1"/>
          <w:kern w:val="0"/>
          <w:sz w:val="24"/>
          <w:shd w:val="clear" w:color="auto" w:fill="FFFFFF"/>
        </w:rPr>
      </w:pPr>
      <w:r>
        <w:rPr>
          <w:rFonts w:hint="eastAsia" w:ascii="宋体" w:hAnsi="宋体" w:eastAsia="宋体" w:cs="宋体"/>
          <w:b/>
          <w:color w:val="000000" w:themeColor="text1"/>
          <w:kern w:val="0"/>
          <w:sz w:val="24"/>
          <w:shd w:val="clear" w:color="auto" w:fill="FFFFFF"/>
        </w:rPr>
        <w:t>(二) 一般公共预算财政拨款“三公”经费支出决算具体情况</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2017年度一般公共预算财政拨款“三公”经费支出决算中，公务用车购置及运行维护费支出2.5万元，占88.34%；公务接待费支出0.33万元，占11.66%。具体情况如下：</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 公务用车购置及运行维护费支出2.5万元。其中：</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度公务用车运行维护支出2.5万元，开支一般公共预算财政拨款的公务用车保有量为1辆。主要用于承担《2017年云南省天然橡胶产业分析研究报告》、《云南咖啡产业市场分析研究报告》编制及2017年度农业标准化工作接洽、调研所需车辆燃料费、维修费、过路过桥费等。</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2017年度无公务用车购置情况。</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3.公务接待费支0.33万元。其中：</w:t>
      </w:r>
    </w:p>
    <w:p>
      <w:pPr>
        <w:widowControl/>
        <w:spacing w:before="100" w:after="100" w:line="360" w:lineRule="auto"/>
        <w:ind w:firstLine="48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2017年度国内接待费支出0.33万元（其中：外事接待费支出0万元），共安排国内公务接待13批次（其中：外事接待0批次），接待人次75人（其中：外事接待人次0人）。主要用于</w:t>
      </w:r>
      <w:r>
        <w:rPr>
          <w:rFonts w:hint="eastAsia" w:ascii="宋体" w:hAnsi="宋体" w:eastAsia="宋体" w:cs="宋体"/>
          <w:color w:val="000000" w:themeColor="text1"/>
          <w:kern w:val="0"/>
          <w:sz w:val="24"/>
          <w:shd w:val="clear" w:color="auto" w:fill="FFFFFF"/>
        </w:rPr>
        <w:t>涉农业务发生的接待支出，包括承担承担2017年度全省农业标准申报、初审任务的</w:t>
      </w:r>
      <w:r>
        <w:rPr>
          <w:rFonts w:hint="eastAsia" w:ascii="宋体" w:hAnsi="宋体" w:eastAsia="宋体" w:cs="宋体"/>
          <w:kern w:val="0"/>
          <w:sz w:val="24"/>
          <w:shd w:val="clear" w:color="auto" w:fill="FFFFFF"/>
        </w:rPr>
        <w:t>12项地方标准的技术审查、20项地方标准的申报立项的接待任务支出。</w:t>
      </w:r>
    </w:p>
    <w:p>
      <w:pPr>
        <w:widowControl/>
        <w:spacing w:before="150" w:after="150" w:line="360" w:lineRule="auto"/>
        <w:ind w:firstLine="480"/>
        <w:jc w:val="left"/>
        <w:rPr>
          <w:color w:val="000000" w:themeColor="text1"/>
        </w:rPr>
      </w:pPr>
      <w:r>
        <w:rPr>
          <w:rFonts w:hint="eastAsia" w:ascii="宋体" w:hAnsi="宋体" w:eastAsia="宋体" w:cs="宋体"/>
          <w:color w:val="000000" w:themeColor="text1"/>
          <w:kern w:val="0"/>
          <w:sz w:val="24"/>
          <w:shd w:val="clear" w:color="auto" w:fill="FFFFFF"/>
        </w:rPr>
        <w:t>云南省乡镇企业产品检测中心认真贯彻落实中央八项规定要求，积极响应农业厅关于改进作风厉行节约的工作部署，不断加强和规范公务接待、公务用车及因公出国（境）管理，切实保障2017年度“三公经费”支出在控制线内执行。</w:t>
      </w:r>
    </w:p>
    <w:p>
      <w:pPr>
        <w:widowControl/>
        <w:spacing w:before="150" w:after="150" w:line="360" w:lineRule="auto"/>
        <w:ind w:firstLine="48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本年度三公经费支出执行符合上级主管省农业厅下达《云南省农业厅关于云南省乡镇企业产品检测中心2017年部门预算的批复》（云财农〔2017〕1号）批复标准。</w:t>
      </w:r>
    </w:p>
    <w:p>
      <w:pPr>
        <w:widowControl/>
        <w:spacing w:before="150" w:after="150" w:line="360" w:lineRule="auto"/>
        <w:ind w:firstLine="482"/>
        <w:jc w:val="left"/>
        <w:rPr>
          <w:color w:val="000000" w:themeColor="text1"/>
        </w:rPr>
      </w:pPr>
      <w:r>
        <w:rPr>
          <w:rFonts w:hint="eastAsia" w:ascii="宋体" w:hAnsi="宋体" w:eastAsia="宋体" w:cs="宋体"/>
          <w:b/>
          <w:color w:val="000000" w:themeColor="text1"/>
          <w:kern w:val="0"/>
          <w:sz w:val="24"/>
          <w:shd w:val="clear" w:color="auto" w:fill="FFFFFF"/>
        </w:rPr>
        <w:t>五、其他重要事项及相关口径情况说明</w:t>
      </w:r>
    </w:p>
    <w:p>
      <w:pPr>
        <w:widowControl/>
        <w:spacing w:before="150" w:after="150" w:line="360" w:lineRule="auto"/>
        <w:ind w:firstLine="482"/>
        <w:jc w:val="left"/>
        <w:rPr>
          <w:color w:val="000000" w:themeColor="text1"/>
        </w:rPr>
      </w:pPr>
      <w:r>
        <w:rPr>
          <w:rFonts w:hint="eastAsia" w:ascii="宋体" w:hAnsi="宋体" w:eastAsia="宋体" w:cs="宋体"/>
          <w:b/>
          <w:color w:val="000000" w:themeColor="text1"/>
          <w:kern w:val="0"/>
          <w:sz w:val="24"/>
          <w:shd w:val="clear" w:color="auto" w:fill="FFFFFF"/>
        </w:rPr>
        <w:t>（一）国有资产占用情况</w:t>
      </w:r>
    </w:p>
    <w:p>
      <w:pPr>
        <w:widowControl/>
        <w:spacing w:before="150" w:after="150" w:line="360" w:lineRule="auto"/>
        <w:ind w:firstLine="48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截至2017年12月31日，部门资产总额179.42万元，其中，流动资产136.02万元，固定资产43.4万元，对外投资及有价证券0万元，在建工程0万元，无形资产0万元，其他资产0万元（具体内容详见附表）。与上年相比，本年资产总额减少12.98万元，其中固定资产减少10.01万元。无处置房屋建筑物、处置车辆情况。2017年度于国有资产管理信息系统登记处置事项名称编号CZZXCSBF 201700000，报废资产账面原值10万元，无资产处置收入。</w:t>
      </w:r>
    </w:p>
    <w:tbl>
      <w:tblPr>
        <w:tblStyle w:val="6"/>
        <w:tblW w:w="8460" w:type="dxa"/>
        <w:tblInd w:w="136" w:type="dxa"/>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
      <w:tblGrid>
        <w:gridCol w:w="568"/>
        <w:gridCol w:w="434"/>
        <w:gridCol w:w="557"/>
        <w:gridCol w:w="545"/>
        <w:gridCol w:w="377"/>
        <w:gridCol w:w="577"/>
        <w:gridCol w:w="613"/>
        <w:gridCol w:w="52"/>
        <w:gridCol w:w="689"/>
        <w:gridCol w:w="264"/>
        <w:gridCol w:w="512"/>
        <w:gridCol w:w="155"/>
        <w:gridCol w:w="779"/>
        <w:gridCol w:w="780"/>
        <w:gridCol w:w="778"/>
        <w:gridCol w:w="780"/>
      </w:tblGrid>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8460" w:type="dxa"/>
            <w:gridSpan w:val="16"/>
            <w:tcBorders>
              <w:top w:val="single" w:color="333333" w:sz="6" w:space="0"/>
              <w:left w:val="single" w:color="333333" w:sz="6" w:space="0"/>
              <w:bottom w:val="single" w:color="333333" w:sz="6" w:space="0"/>
              <w:right w:val="single" w:color="333333" w:sz="6"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b/>
                <w:color w:val="000000" w:themeColor="text1"/>
                <w:kern w:val="0"/>
                <w:sz w:val="24"/>
              </w:rPr>
              <w:t>国有资产占有使用情况表</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3723" w:type="dxa"/>
            <w:gridSpan w:val="8"/>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textAlignment w:val="center"/>
              <w:rPr>
                <w:color w:val="000000" w:themeColor="text1"/>
              </w:rPr>
            </w:pPr>
            <w:r>
              <w:rPr>
                <w:rFonts w:hint="eastAsia" w:ascii="宋体" w:hAnsi="宋体" w:eastAsia="宋体" w:cs="宋体"/>
                <w:color w:val="000000" w:themeColor="text1"/>
                <w:kern w:val="0"/>
                <w:sz w:val="24"/>
              </w:rPr>
              <w:t> </w:t>
            </w:r>
          </w:p>
        </w:tc>
        <w:tc>
          <w:tcPr>
            <w:tcW w:w="689" w:type="dxa"/>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776" w:type="dxa"/>
            <w:gridSpan w:val="2"/>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155" w:type="dxa"/>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779" w:type="dxa"/>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780" w:type="dxa"/>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1558" w:type="dxa"/>
            <w:gridSpan w:val="2"/>
            <w:tcBorders>
              <w:top w:val="single" w:color="333333" w:sz="6" w:space="0"/>
              <w:left w:val="single" w:color="333333" w:sz="6" w:space="0"/>
              <w:bottom w:val="single" w:color="808080" w:sz="8" w:space="0"/>
              <w:right w:val="single" w:color="333333" w:sz="6" w:space="0"/>
            </w:tcBorders>
            <w:shd w:val="clear" w:color="auto" w:fill="auto"/>
            <w:vAlign w:val="center"/>
          </w:tcPr>
          <w:p>
            <w:pPr>
              <w:widowControl/>
              <w:spacing w:beforeAutospacing="1" w:afterAutospacing="1" w:line="360" w:lineRule="auto"/>
              <w:jc w:val="right"/>
              <w:textAlignment w:val="center"/>
              <w:rPr>
                <w:color w:val="000000" w:themeColor="text1"/>
              </w:rPr>
            </w:pPr>
            <w:r>
              <w:rPr>
                <w:rFonts w:hint="eastAsia" w:ascii="宋体" w:hAnsi="宋体" w:eastAsia="宋体" w:cs="宋体"/>
                <w:color w:val="000000" w:themeColor="text1"/>
                <w:kern w:val="0"/>
                <w:sz w:val="24"/>
              </w:rPr>
              <w:t>单位：万元</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项目</w:t>
            </w:r>
          </w:p>
        </w:tc>
        <w:tc>
          <w:tcPr>
            <w:tcW w:w="434"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行次</w:t>
            </w:r>
          </w:p>
        </w:tc>
        <w:tc>
          <w:tcPr>
            <w:tcW w:w="557"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资产总额</w:t>
            </w:r>
          </w:p>
        </w:tc>
        <w:tc>
          <w:tcPr>
            <w:tcW w:w="545"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流动资产</w:t>
            </w:r>
          </w:p>
        </w:tc>
        <w:tc>
          <w:tcPr>
            <w:tcW w:w="3239" w:type="dxa"/>
            <w:gridSpan w:val="8"/>
            <w:tcBorders>
              <w:top w:val="single" w:color="80808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固定资产</w:t>
            </w:r>
          </w:p>
        </w:tc>
        <w:tc>
          <w:tcPr>
            <w:tcW w:w="779"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对外投资/有价证券</w:t>
            </w:r>
          </w:p>
        </w:tc>
        <w:tc>
          <w:tcPr>
            <w:tcW w:w="780"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在建工程</w:t>
            </w:r>
          </w:p>
        </w:tc>
        <w:tc>
          <w:tcPr>
            <w:tcW w:w="778" w:type="dxa"/>
            <w:vMerge w:val="restart"/>
            <w:tcBorders>
              <w:top w:val="single" w:color="333333" w:sz="6"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无形资产</w:t>
            </w:r>
          </w:p>
        </w:tc>
        <w:tc>
          <w:tcPr>
            <w:tcW w:w="780" w:type="dxa"/>
            <w:vMerge w:val="restart"/>
            <w:tcBorders>
              <w:top w:val="single" w:color="333333" w:sz="6"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其他资产</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434"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557"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545"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377"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小计</w:t>
            </w:r>
          </w:p>
        </w:tc>
        <w:tc>
          <w:tcPr>
            <w:tcW w:w="577"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房屋构筑物</w:t>
            </w:r>
          </w:p>
        </w:tc>
        <w:tc>
          <w:tcPr>
            <w:tcW w:w="613" w:type="dxa"/>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汽车</w:t>
            </w:r>
          </w:p>
        </w:tc>
        <w:tc>
          <w:tcPr>
            <w:tcW w:w="1005" w:type="dxa"/>
            <w:gridSpan w:val="3"/>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单价200万以上大型设备</w:t>
            </w:r>
          </w:p>
        </w:tc>
        <w:tc>
          <w:tcPr>
            <w:tcW w:w="667" w:type="dxa"/>
            <w:gridSpan w:val="2"/>
            <w:vMerge w:val="restart"/>
            <w:tcBorders>
              <w:top w:val="nil"/>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其他固定资产</w:t>
            </w:r>
          </w:p>
        </w:tc>
        <w:tc>
          <w:tcPr>
            <w:tcW w:w="779"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80"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78" w:type="dxa"/>
            <w:vMerge w:val="continue"/>
            <w:tcBorders>
              <w:top w:val="single" w:color="333333" w:sz="6" w:space="0"/>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80" w:type="dxa"/>
            <w:vMerge w:val="continue"/>
            <w:tcBorders>
              <w:top w:val="single" w:color="333333" w:sz="6" w:space="0"/>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1027" w:hRule="atLeast"/>
        </w:trPr>
        <w:tc>
          <w:tcPr>
            <w:tcW w:w="56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434"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557"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545"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377"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577"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613"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1005" w:type="dxa"/>
            <w:gridSpan w:val="3"/>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667" w:type="dxa"/>
            <w:gridSpan w:val="2"/>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79"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80" w:type="dxa"/>
            <w:vMerge w:val="continue"/>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78" w:type="dxa"/>
            <w:vMerge w:val="continue"/>
            <w:tcBorders>
              <w:top w:val="single" w:color="333333" w:sz="6" w:space="0"/>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c>
          <w:tcPr>
            <w:tcW w:w="780" w:type="dxa"/>
            <w:vMerge w:val="continue"/>
            <w:tcBorders>
              <w:top w:val="single" w:color="333333" w:sz="6" w:space="0"/>
              <w:left w:val="nil"/>
              <w:bottom w:val="single" w:color="000000" w:sz="4" w:space="0"/>
              <w:right w:val="single" w:color="000000" w:sz="4" w:space="0"/>
            </w:tcBorders>
            <w:shd w:val="clear" w:color="auto" w:fill="auto"/>
            <w:vAlign w:val="center"/>
          </w:tcPr>
          <w:p>
            <w:pP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栏次</w:t>
            </w:r>
          </w:p>
        </w:tc>
        <w:tc>
          <w:tcPr>
            <w:tcW w:w="434"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1</w:t>
            </w:r>
          </w:p>
        </w:tc>
        <w:tc>
          <w:tcPr>
            <w:tcW w:w="545"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2</w:t>
            </w:r>
          </w:p>
        </w:tc>
        <w:tc>
          <w:tcPr>
            <w:tcW w:w="37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3</w:t>
            </w:r>
          </w:p>
        </w:tc>
        <w:tc>
          <w:tcPr>
            <w:tcW w:w="57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4</w:t>
            </w:r>
          </w:p>
        </w:tc>
        <w:tc>
          <w:tcPr>
            <w:tcW w:w="613"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5</w:t>
            </w:r>
          </w:p>
        </w:tc>
        <w:tc>
          <w:tcPr>
            <w:tcW w:w="1005"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6</w:t>
            </w:r>
          </w:p>
        </w:tc>
        <w:tc>
          <w:tcPr>
            <w:tcW w:w="667"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7</w:t>
            </w:r>
          </w:p>
        </w:tc>
        <w:tc>
          <w:tcPr>
            <w:tcW w:w="779"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8</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9</w:t>
            </w:r>
          </w:p>
        </w:tc>
        <w:tc>
          <w:tcPr>
            <w:tcW w:w="778"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10</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11</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合计</w:t>
            </w:r>
          </w:p>
        </w:tc>
        <w:tc>
          <w:tcPr>
            <w:tcW w:w="434"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center"/>
              <w:textAlignment w:val="center"/>
              <w:rPr>
                <w:color w:val="000000" w:themeColor="text1"/>
              </w:rPr>
            </w:pPr>
            <w:r>
              <w:rPr>
                <w:rFonts w:hint="eastAsia" w:ascii="宋体" w:hAnsi="宋体" w:eastAsia="宋体" w:cs="宋体"/>
                <w:color w:val="000000" w:themeColor="text1"/>
                <w:kern w:val="0"/>
                <w:sz w:val="24"/>
              </w:rPr>
              <w:t>1</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shd w:val="clear" w:color="auto" w:fill="FFFFFF"/>
              </w:rPr>
              <w:t>179.42</w:t>
            </w:r>
          </w:p>
        </w:tc>
        <w:tc>
          <w:tcPr>
            <w:tcW w:w="545"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shd w:val="clear" w:color="auto" w:fill="FFFFFF"/>
              </w:rPr>
              <w:t>136.02</w:t>
            </w:r>
          </w:p>
        </w:tc>
        <w:tc>
          <w:tcPr>
            <w:tcW w:w="37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shd w:val="clear" w:color="auto" w:fill="FFFFFF"/>
              </w:rPr>
              <w:t>43.4</w:t>
            </w:r>
          </w:p>
        </w:tc>
        <w:tc>
          <w:tcPr>
            <w:tcW w:w="577"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c>
          <w:tcPr>
            <w:tcW w:w="613"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color w:val="000000" w:themeColor="text1"/>
              </w:rPr>
              <w:t>16.93</w:t>
            </w:r>
          </w:p>
        </w:tc>
        <w:tc>
          <w:tcPr>
            <w:tcW w:w="1005"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c>
          <w:tcPr>
            <w:tcW w:w="667"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color w:val="000000" w:themeColor="text1"/>
              </w:rPr>
              <w:t>26.47</w:t>
            </w:r>
          </w:p>
        </w:tc>
        <w:tc>
          <w:tcPr>
            <w:tcW w:w="779"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c>
          <w:tcPr>
            <w:tcW w:w="778"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widowControl/>
              <w:spacing w:beforeAutospacing="1" w:afterAutospacing="1" w:line="360" w:lineRule="auto"/>
              <w:jc w:val="right"/>
              <w:rPr>
                <w:color w:val="000000" w:themeColor="text1"/>
              </w:rPr>
            </w:pPr>
            <w:r>
              <w:rPr>
                <w:rFonts w:hint="eastAsia" w:ascii="宋体" w:hAnsi="宋体" w:eastAsia="宋体" w:cs="宋体"/>
                <w:color w:val="000000" w:themeColor="text1"/>
                <w:kern w:val="0"/>
                <w:sz w:val="24"/>
              </w:rPr>
              <w:t> </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973" w:hRule="atLeast"/>
        </w:trPr>
        <w:tc>
          <w:tcPr>
            <w:tcW w:w="6902" w:type="dxa"/>
            <w:gridSpan w:val="14"/>
            <w:tcBorders>
              <w:top w:val="single" w:color="333333" w:sz="6" w:space="0"/>
              <w:left w:val="single" w:color="333333" w:sz="6" w:space="0"/>
              <w:bottom w:val="single" w:color="333333" w:sz="6" w:space="0"/>
              <w:right w:val="single" w:color="333333" w:sz="6" w:space="0"/>
            </w:tcBorders>
            <w:shd w:val="clear" w:color="auto" w:fill="auto"/>
            <w:vAlign w:val="bottom"/>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填报说明：　1.资产总额＝流动资产＋固定资产＋对外投资／有价证券＋在建工程＋无形资产＋其他资产</w:t>
            </w:r>
          </w:p>
        </w:tc>
        <w:tc>
          <w:tcPr>
            <w:tcW w:w="778" w:type="dxa"/>
            <w:tcBorders>
              <w:top w:val="single" w:color="333333" w:sz="6" w:space="0"/>
              <w:left w:val="single" w:color="333333" w:sz="6" w:space="0"/>
              <w:bottom w:val="single" w:color="333333" w:sz="6" w:space="0"/>
              <w:right w:val="single" w:color="333333" w:sz="6" w:space="0"/>
            </w:tcBorders>
            <w:shd w:val="clear" w:color="auto" w:fill="auto"/>
            <w:vAlign w:val="bottom"/>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c>
          <w:tcPr>
            <w:tcW w:w="780" w:type="dxa"/>
            <w:tcBorders>
              <w:top w:val="single" w:color="333333" w:sz="6" w:space="0"/>
              <w:left w:val="single" w:color="333333" w:sz="6" w:space="0"/>
              <w:bottom w:val="single" w:color="333333" w:sz="6" w:space="0"/>
              <w:right w:val="single" w:color="333333" w:sz="6" w:space="0"/>
            </w:tcBorders>
            <w:shd w:val="clear" w:color="auto" w:fill="auto"/>
            <w:vAlign w:val="bottom"/>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r>
      <w:tr>
        <w:tblPrEx>
          <w:tblBorders>
            <w:top w:val="none" w:color="333333" w:sz="0" w:space="0"/>
            <w:left w:val="none" w:color="333333" w:sz="0" w:space="0"/>
            <w:bottom w:val="none" w:color="333333" w:sz="0" w:space="0"/>
            <w:right w:val="none" w:color="333333" w:sz="0" w:space="0"/>
            <w:insideH w:val="none" w:color="auto" w:sz="0" w:space="0"/>
            <w:insideV w:val="none" w:color="auto" w:sz="0" w:space="0"/>
          </w:tblBorders>
          <w:tblLayout w:type="fixed"/>
          <w:tblCellMar>
            <w:top w:w="15" w:type="dxa"/>
            <w:left w:w="15" w:type="dxa"/>
            <w:bottom w:w="15" w:type="dxa"/>
            <w:right w:w="15" w:type="dxa"/>
          </w:tblCellMar>
        </w:tblPrEx>
        <w:trPr>
          <w:trHeight w:val="1001" w:hRule="atLeast"/>
        </w:trPr>
        <w:tc>
          <w:tcPr>
            <w:tcW w:w="7680" w:type="dxa"/>
            <w:gridSpan w:val="15"/>
            <w:tcBorders>
              <w:top w:val="single" w:color="333333" w:sz="6" w:space="0"/>
              <w:left w:val="single" w:color="333333" w:sz="6" w:space="0"/>
              <w:bottom w:val="single" w:color="333333" w:sz="6" w:space="0"/>
              <w:right w:val="single" w:color="333333" w:sz="6" w:space="0"/>
            </w:tcBorders>
            <w:shd w:val="clear" w:color="auto" w:fill="auto"/>
            <w:vAlign w:val="bottom"/>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2.固定资产＝房屋构筑物＋汽车＋单价200万元以上大型设备＋其他固定资产</w:t>
            </w:r>
          </w:p>
        </w:tc>
        <w:tc>
          <w:tcPr>
            <w:tcW w:w="780" w:type="dxa"/>
            <w:tcBorders>
              <w:top w:val="single" w:color="333333" w:sz="6" w:space="0"/>
              <w:left w:val="single" w:color="333333" w:sz="6" w:space="0"/>
              <w:bottom w:val="single" w:color="333333" w:sz="6" w:space="0"/>
              <w:right w:val="single" w:color="333333" w:sz="6" w:space="0"/>
            </w:tcBorders>
            <w:shd w:val="clear" w:color="auto" w:fill="auto"/>
            <w:vAlign w:val="bottom"/>
          </w:tcPr>
          <w:p>
            <w:pPr>
              <w:widowControl/>
              <w:spacing w:beforeAutospacing="1" w:afterAutospacing="1" w:line="360" w:lineRule="auto"/>
              <w:jc w:val="left"/>
              <w:rPr>
                <w:color w:val="000000" w:themeColor="text1"/>
              </w:rPr>
            </w:pPr>
            <w:r>
              <w:rPr>
                <w:rFonts w:hint="eastAsia" w:ascii="宋体" w:hAnsi="宋体" w:eastAsia="宋体" w:cs="宋体"/>
                <w:color w:val="000000" w:themeColor="text1"/>
                <w:kern w:val="0"/>
                <w:sz w:val="24"/>
              </w:rPr>
              <w:t> </w:t>
            </w:r>
          </w:p>
        </w:tc>
      </w:tr>
    </w:tbl>
    <w:p>
      <w:pPr>
        <w:widowControl/>
        <w:spacing w:before="150" w:after="150" w:line="360" w:lineRule="auto"/>
        <w:ind w:firstLine="482"/>
        <w:jc w:val="left"/>
        <w:rPr>
          <w:color w:val="000000" w:themeColor="text1"/>
        </w:rPr>
      </w:pPr>
      <w:r>
        <w:rPr>
          <w:rFonts w:hint="eastAsia" w:ascii="宋体" w:hAnsi="宋体" w:eastAsia="宋体" w:cs="宋体"/>
          <w:b/>
          <w:color w:val="000000" w:themeColor="text1"/>
          <w:kern w:val="0"/>
          <w:sz w:val="24"/>
          <w:shd w:val="clear" w:color="auto" w:fill="FFFFFF"/>
        </w:rPr>
        <w:t>(二)政府采购支出情况</w:t>
      </w:r>
    </w:p>
    <w:p>
      <w:pPr>
        <w:widowControl/>
        <w:spacing w:before="150" w:after="150" w:line="360" w:lineRule="auto"/>
        <w:ind w:firstLine="480"/>
        <w:jc w:val="left"/>
        <w:rPr>
          <w:color w:val="000000" w:themeColor="text1"/>
        </w:rPr>
      </w:pPr>
      <w:r>
        <w:rPr>
          <w:rFonts w:hint="eastAsia" w:ascii="宋体" w:hAnsi="宋体" w:eastAsia="宋体" w:cs="宋体"/>
          <w:color w:val="000000" w:themeColor="text1"/>
          <w:kern w:val="0"/>
          <w:sz w:val="24"/>
          <w:shd w:val="clear" w:color="auto" w:fill="FFFFFF"/>
        </w:rPr>
        <w:t>2017年度政府采购支出总额包括（本单位实际支出数，不包括资金下分、省级统采的项目资金）及货物、工程、服务金额，以及授予小微企业合同金额，合计为0万元，一应采购事项严格按规定申报获批准后执行，历年度政府采购情况详见云南省政府采购网公示情况。</w:t>
      </w:r>
    </w:p>
    <w:p>
      <w:pPr>
        <w:widowControl/>
        <w:spacing w:before="150" w:after="150" w:line="360" w:lineRule="auto"/>
        <w:ind w:firstLine="482"/>
        <w:jc w:val="left"/>
        <w:rPr>
          <w:color w:val="000000" w:themeColor="text1"/>
        </w:rPr>
      </w:pPr>
      <w:r>
        <w:rPr>
          <w:rFonts w:hint="eastAsia" w:ascii="宋体" w:hAnsi="宋体" w:eastAsia="宋体" w:cs="宋体"/>
          <w:b/>
          <w:color w:val="000000" w:themeColor="text1"/>
          <w:kern w:val="0"/>
          <w:sz w:val="24"/>
          <w:shd w:val="clear" w:color="auto" w:fill="FFFFFF"/>
        </w:rPr>
        <w:t>（三）相关口径说明</w:t>
      </w:r>
    </w:p>
    <w:p>
      <w:pPr>
        <w:widowControl/>
        <w:spacing w:before="150" w:after="150" w:line="360" w:lineRule="auto"/>
        <w:ind w:firstLine="480"/>
        <w:jc w:val="left"/>
        <w:rPr>
          <w:color w:val="000000" w:themeColor="text1"/>
        </w:rPr>
      </w:pPr>
      <w:r>
        <w:rPr>
          <w:rFonts w:hint="eastAsia" w:ascii="宋体" w:hAnsi="宋体" w:eastAsia="宋体" w:cs="宋体"/>
          <w:color w:val="000000" w:themeColor="text1"/>
          <w:kern w:val="0"/>
          <w:sz w:val="24"/>
          <w:shd w:val="clear" w:color="auto" w:fill="FFFFFF"/>
        </w:rPr>
        <w:t>1．基本支出中人员经费包括工资福利支出和对个人和家庭的补助，日常公用支出包括商品和服务支出、其他资本性支出等人员经费以外的支出。</w:t>
      </w:r>
    </w:p>
    <w:p>
      <w:pPr>
        <w:widowControl/>
        <w:spacing w:before="150" w:after="150" w:line="360" w:lineRule="auto"/>
        <w:ind w:firstLine="480"/>
        <w:jc w:val="left"/>
        <w:rPr>
          <w:color w:val="000000" w:themeColor="text1"/>
        </w:rPr>
      </w:pPr>
      <w:r>
        <w:rPr>
          <w:rFonts w:hint="eastAsia" w:ascii="宋体" w:hAnsi="宋体" w:eastAsia="宋体" w:cs="宋体"/>
          <w:color w:val="000000" w:themeColor="text1"/>
          <w:kern w:val="0"/>
          <w:sz w:val="24"/>
          <w:shd w:val="clear" w:color="auto" w:fill="FFFFFF"/>
        </w:rPr>
        <w:t>2．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widowControl/>
        <w:spacing w:before="150" w:after="150" w:line="360" w:lineRule="auto"/>
        <w:ind w:firstLine="480"/>
        <w:jc w:val="left"/>
        <w:rPr>
          <w:color w:val="000000" w:themeColor="text1"/>
        </w:rPr>
      </w:pPr>
      <w:r>
        <w:rPr>
          <w:rFonts w:hint="eastAsia" w:ascii="宋体" w:hAnsi="宋体" w:eastAsia="宋体" w:cs="宋体"/>
          <w:color w:val="000000" w:themeColor="text1"/>
          <w:kern w:val="0"/>
          <w:sz w:val="24"/>
          <w:shd w:val="clear" w:color="auto" w:fill="FFFFFF"/>
        </w:rPr>
        <w:t>3.“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widowControl/>
        <w:spacing w:before="150" w:after="150" w:line="360" w:lineRule="auto"/>
        <w:ind w:firstLine="48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09"/>
    <w:rsid w:val="00352A2D"/>
    <w:rsid w:val="00B02609"/>
    <w:rsid w:val="01730D55"/>
    <w:rsid w:val="087E5CBA"/>
    <w:rsid w:val="08884529"/>
    <w:rsid w:val="13821DA1"/>
    <w:rsid w:val="14DD1F35"/>
    <w:rsid w:val="15CB7DD3"/>
    <w:rsid w:val="1878176E"/>
    <w:rsid w:val="1F2B3222"/>
    <w:rsid w:val="20B4250D"/>
    <w:rsid w:val="21032349"/>
    <w:rsid w:val="225F1519"/>
    <w:rsid w:val="25AF2070"/>
    <w:rsid w:val="27E32012"/>
    <w:rsid w:val="291D7928"/>
    <w:rsid w:val="2C652ADB"/>
    <w:rsid w:val="2DB54F63"/>
    <w:rsid w:val="314E3CAD"/>
    <w:rsid w:val="360C7B7F"/>
    <w:rsid w:val="36725B81"/>
    <w:rsid w:val="3930015B"/>
    <w:rsid w:val="3A4E345E"/>
    <w:rsid w:val="3AC53048"/>
    <w:rsid w:val="43C90C55"/>
    <w:rsid w:val="43F04BF5"/>
    <w:rsid w:val="484C45A2"/>
    <w:rsid w:val="49F76177"/>
    <w:rsid w:val="4BE060EB"/>
    <w:rsid w:val="4C1B1312"/>
    <w:rsid w:val="4D78471E"/>
    <w:rsid w:val="4F5D1861"/>
    <w:rsid w:val="5044551C"/>
    <w:rsid w:val="51EF018A"/>
    <w:rsid w:val="547E0677"/>
    <w:rsid w:val="57180970"/>
    <w:rsid w:val="59392937"/>
    <w:rsid w:val="5B4D47E8"/>
    <w:rsid w:val="5E131E91"/>
    <w:rsid w:val="675F2932"/>
    <w:rsid w:val="6CC27129"/>
    <w:rsid w:val="715E531D"/>
    <w:rsid w:val="7188094E"/>
    <w:rsid w:val="7D826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 w:type="character" w:customStyle="1" w:styleId="7">
    <w:name w:val="ym-gr6"/>
    <w:basedOn w:val="3"/>
    <w:qFormat/>
    <w:uiPriority w:val="0"/>
  </w:style>
  <w:style w:type="character" w:customStyle="1" w:styleId="8">
    <w:name w:val="bds_more4"/>
    <w:basedOn w:val="3"/>
    <w:qFormat/>
    <w:uiPriority w:val="0"/>
    <w:rPr>
      <w:rFonts w:hint="eastAsia" w:ascii="宋体" w:hAnsi="宋体" w:eastAsia="宋体" w:cs="宋体"/>
    </w:rPr>
  </w:style>
  <w:style w:type="character" w:customStyle="1" w:styleId="9">
    <w:name w:val="bds_more5"/>
    <w:basedOn w:val="3"/>
    <w:qFormat/>
    <w:uiPriority w:val="0"/>
  </w:style>
  <w:style w:type="character" w:customStyle="1" w:styleId="10">
    <w:name w:val="bds_more6"/>
    <w:basedOn w:val="3"/>
    <w:qFormat/>
    <w:uiPriority w:val="0"/>
  </w:style>
  <w:style w:type="character" w:customStyle="1" w:styleId="11">
    <w:name w:val="current"/>
    <w:basedOn w:val="3"/>
    <w:qFormat/>
    <w:uiPriority w:val="0"/>
    <w:rPr>
      <w:color w:val="FFFFFF"/>
      <w:bdr w:val="single" w:color="000080" w:sz="6" w:space="0"/>
      <w:shd w:val="clear" w:color="auto" w:fill="2E6AB1"/>
    </w:rPr>
  </w:style>
  <w:style w:type="character" w:customStyle="1" w:styleId="12">
    <w:name w:val="disabled"/>
    <w:basedOn w:val="3"/>
    <w:qFormat/>
    <w:uiPriority w:val="0"/>
    <w:rPr>
      <w:color w:val="929292"/>
      <w:bdr w:val="single" w:color="929292" w:sz="6" w:space="0"/>
    </w:rPr>
  </w:style>
  <w:style w:type="character" w:customStyle="1" w:styleId="13">
    <w:name w:val="bds_nopic"/>
    <w:basedOn w:val="3"/>
    <w:qFormat/>
    <w:uiPriority w:val="0"/>
  </w:style>
  <w:style w:type="character" w:customStyle="1" w:styleId="14">
    <w:name w:val="bds_nopic1"/>
    <w:basedOn w:val="3"/>
    <w:qFormat/>
    <w:uiPriority w:val="0"/>
  </w:style>
  <w:style w:type="character" w:customStyle="1" w:styleId="15">
    <w:name w:val="bds_nopic2"/>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833</Words>
  <Characters>4754</Characters>
  <Lines>39</Lines>
  <Paragraphs>11</Paragraphs>
  <TotalTime>17</TotalTime>
  <ScaleCrop>false</ScaleCrop>
  <LinksUpToDate>false</LinksUpToDate>
  <CharactersWithSpaces>5576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2018-08-20T07:55:00Z</dcterms:created>
  <dc:creator>DELL</dc:creator>
  <cp:lastModifiedBy>dell</cp:lastModifiedBy>
  <dcterms:modified xsi:type="dcterms:W3CDTF">2018-08-20T07:40:25Z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